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Yonggang</w:t>
      </w:r>
      <w:r>
        <w:t xml:space="preserve"> </w:t>
      </w:r>
      <w:r>
        <w:t xml:space="preserve">Liu</w:t>
      </w:r>
      <w:r>
        <w:t xml:space="preserve"> </w:t>
      </w:r>
      <w:r>
        <w:t xml:space="preserve">(</w:t>
      </w:r>
      <w:hyperlink r:id="rId27">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8">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29">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0">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1">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2">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3">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4">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5">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6">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7">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2021-12-01 10:40:44</w:t>
      </w:r>
    </w:p>
    <w:bookmarkStart w:id="39"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mixed legacy phosphate mining wastewater and marine dredge water from the Piney Point facility were released into Tampa Bay (Florida, USA). An estimated 186 metric tons of total nitrogen were exported to Lower Tampa Bay, exceeding typical annual external nitrogen loads in a matter of days. In the period immediately after the release,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blooms of the red tide organism</w:t>
      </w:r>
      <w:r>
        <w:t xml:space="preserve"> </w:t>
      </w:r>
      <w:r>
        <w:rPr>
          <w:iCs/>
          <w:i/>
        </w:rPr>
        <w:t xml:space="preserve">Karenia brevis</w:t>
      </w:r>
      <w:r>
        <w:t xml:space="preserve"> </w:t>
      </w:r>
      <w:r>
        <w:t xml:space="preserve">that peaked in July. Reported fish kills tracked</w:t>
      </w:r>
      <w:r>
        <w:t xml:space="preserve"> </w:t>
      </w:r>
      <w:r>
        <w:rPr>
          <w:iCs/>
          <w:i/>
        </w:rPr>
        <w:t xml:space="preserve">K. brevis</w:t>
      </w:r>
      <w:r>
        <w:t xml:space="preserve"> </w:t>
      </w:r>
      <w:r>
        <w:t xml:space="preserve">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release from Piney Point, are abnormal relative to historic conditions in Tampa Bay.</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47" w:name="methods"/>
    <w:p>
      <w:pPr>
        <w:pStyle w:val="Heading1"/>
      </w:pPr>
      <w:r>
        <w:t xml:space="preserve">Methods</w:t>
      </w:r>
    </w:p>
    <w:bookmarkStart w:id="43"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Seagrass and macroalgae sampling occurred approximately biweekly at 38 transects using a modified rapid assessment design following the</w:t>
      </w:r>
      <w:r>
        <w:t xml:space="preserve"> </w:t>
      </w:r>
      <w:r>
        <w:t xml:space="preserve">“</w:t>
      </w:r>
      <w:hyperlink r:id="rId42">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3"/>
    <w:bookmarkStart w:id="46"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4">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5">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6"/>
    <w:bookmarkEnd w:id="47"/>
    <w:bookmarkStart w:id="54" w:name="results"/>
    <w:p>
      <w:pPr>
        <w:pStyle w:val="Heading1"/>
      </w:pPr>
      <w:r>
        <w:t xml:space="preserve">Results</w:t>
      </w:r>
    </w:p>
    <w:bookmarkStart w:id="48"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8"/>
    <w:bookmarkStart w:id="49"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8% and 23%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38%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49"/>
    <w:bookmarkStart w:id="50"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0"/>
    <w:bookmarkStart w:id="52"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low/medium/high concentrations based on</w:t>
      </w:r>
      <w:r>
        <w:t xml:space="preserve"> </w:t>
      </w:r>
      <w:hyperlink r:id="rId51">
        <w:r>
          <w:rPr>
            <w:rStyle w:val="Hyperlink"/>
          </w:rPr>
          <w:t xml:space="preserve">FWC breakpoints</w:t>
        </w:r>
      </w:hyperlink>
      <w:r>
        <w:t xml:space="preserve"> </w:t>
      </w:r>
      <w:r>
        <w:t xml:space="preserve">at 10,000/100,000/1,000,000 cells/L).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w:t>
      </w:r>
      <w:r>
        <w:t xml:space="preserve"> </w:t>
      </w:r>
      <w:r>
        <w:t xml:space="preserve">sp. and</w:t>
      </w:r>
      <w:r>
        <w:t xml:space="preserve"> </w:t>
      </w:r>
      <w:r>
        <w:rPr>
          <w:iCs/>
          <w:i/>
        </w:rPr>
        <w:t xml:space="preserve">Skeletonema</w:t>
      </w:r>
      <w:r>
        <w:t xml:space="preserve"> </w:t>
      </w:r>
      <w:r>
        <w:t xml:space="preserve">sp.,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2"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unanticipated release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in comparison to the 2021 bloom event, potentially allowing fishes to migrate from harmful conditions.</w:t>
      </w:r>
    </w:p>
    <w:p>
      <w:pPr>
        <w:pStyle w:val="BodyText"/>
      </w:pPr>
      <w:r>
        <w:t xml:space="preserve">For seagrasses, major bloom events in 2021 produced unfavourable water quality conditions, although changes in frequency occurrence of seagrasses were minimal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macroalgae community was a high abundance of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8">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5"/>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release water."/>
      </w:tblPr>
      <w:tblGrid>
        <w:gridCol w:w="1671"/>
        <w:gridCol w:w="1235"/>
        <w:gridCol w:w="1671"/>
        <w:gridCol w:w="3342"/>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end-of-pipe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150.5</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147.5</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(ug/L)</w:t>
            </w:r>
          </w:p>
        </w:tc>
        <w:tc>
          <w:tcPr/>
          <w:p>
            <w:pPr>
              <w:pStyle w:val="Compact"/>
              <w:jc w:val="left"/>
            </w:pPr>
            <w:r>
              <w:t xml:space="preserve">-</w:t>
            </w:r>
          </w:p>
        </w:tc>
        <w:tc>
          <w:tcPr/>
          <w:p>
            <w:pPr>
              <w:pStyle w:val="Compact"/>
              <w:jc w:val="left"/>
            </w:pPr>
            <w:r>
              <w:t xml:space="preserve">105</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(ug/L)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65</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58</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(ug/L)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62</w:t>
            </w:r>
          </w:p>
        </w:tc>
        <w:tc>
          <w:tcPr/>
          <w:p>
            <w:pPr>
              <w:pStyle w:val="Compact"/>
              <w:jc w:val="right"/>
            </w:pPr>
            <w:r>
              <w:t xml:space="preserve">8</w:t>
            </w:r>
          </w:p>
        </w:tc>
        <w:tc>
          <w:tcPr/>
          <w:p>
            <w:pPr>
              <w:pStyle w:val="Compact"/>
              <w:jc w:val="right"/>
            </w:pPr>
            <w:r>
              <w:t xml:space="preserve">31</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58</w:t>
            </w:r>
          </w:p>
        </w:tc>
        <w:tc>
          <w:tcPr/>
          <w:p>
            <w:pPr>
              <w:pStyle w:val="Compact"/>
              <w:jc w:val="right"/>
            </w:pPr>
            <w:r>
              <w:t xml:space="preserve">12</w:t>
            </w:r>
          </w:p>
        </w:tc>
        <w:tc>
          <w:tcPr/>
          <w:p>
            <w:pPr>
              <w:pStyle w:val="Compact"/>
              <w:jc w:val="right"/>
            </w:pPr>
            <w:r>
              <w:t xml:space="preserve">30</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(ug/L)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23</w:t>
            </w:r>
          </w:p>
        </w:tc>
        <w:tc>
          <w:tcPr/>
          <w:p>
            <w:pPr>
              <w:pStyle w:val="Compact"/>
              <w:jc w:val="right"/>
            </w:pPr>
            <w:r>
              <w:t xml:space="preserve">8</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54</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56</w:t>
            </w:r>
          </w:p>
        </w:tc>
        <w:tc>
          <w:tcPr/>
          <w:p>
            <w:pPr>
              <w:pStyle w:val="Compact"/>
              <w:jc w:val="right"/>
            </w:pPr>
            <w:r>
              <w:t xml:space="preserve">0</w:t>
            </w:r>
          </w:p>
        </w:tc>
        <w:tc>
          <w:tcPr/>
          <w:p>
            <w:pPr>
              <w:pStyle w:val="Compact"/>
              <w:jc w:val="right"/>
            </w:pPr>
            <w:r>
              <w:t xml:space="preserve">44</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7</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44</w:t>
            </w:r>
          </w:p>
        </w:tc>
        <w:tc>
          <w:tcPr/>
          <w:p>
            <w:pPr>
              <w:pStyle w:val="Compact"/>
              <w:jc w:val="right"/>
            </w:pPr>
            <w:r>
              <w:t xml:space="preserve">18</w:t>
            </w:r>
          </w:p>
        </w:tc>
        <w:tc>
          <w:tcPr/>
          <w:p>
            <w:pPr>
              <w:pStyle w:val="Compact"/>
              <w:jc w:val="right"/>
            </w:pPr>
            <w:r>
              <w:t xml:space="preserve">38</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12</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72</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11</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(ug/L)</w:t>
            </w:r>
          </w:p>
        </w:tc>
        <w:tc>
          <w:tcPr/>
          <w:p>
            <w:pPr>
              <w:pStyle w:val="Compact"/>
              <w:jc w:val="left"/>
            </w:pPr>
            <w:r>
              <w:t xml:space="preserve">61.89**</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(ug/L)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20.88**</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(ug/L)</w:t>
            </w:r>
          </w:p>
        </w:tc>
        <w:tc>
          <w:tcPr/>
          <w:p>
            <w:pPr>
              <w:pStyle w:val="Compact"/>
              <w:jc w:val="left"/>
            </w:pPr>
            <w:r>
              <w:t xml:space="preserve">35.64**</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-0.480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ce</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1.610</w:t>
            </w:r>
          </w:p>
        </w:tc>
      </w:tr>
      <w:tr>
        <w:tc>
          <w:tcPr/>
          <w:p>
            <w:pPr>
              <w:pStyle w:val="Compact"/>
            </w:pPr>
          </w:p>
        </w:tc>
        <w:tc>
          <w:tcPr/>
          <w:p>
            <w:pPr>
              <w:pStyle w:val="Compact"/>
            </w:pPr>
          </w:p>
        </w:tc>
        <w:tc>
          <w:tcPr/>
          <w:p>
            <w:pPr>
              <w:pStyle w:val="Compact"/>
            </w:pPr>
          </w:p>
        </w:tc>
        <w:tc>
          <w:tcPr/>
          <w:p>
            <w:pPr>
              <w:pStyle w:val="Compact"/>
              <w:jc w:val="left"/>
            </w:pPr>
            <w:r>
              <w:t xml:space="preserve">de</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abcde</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15.94*</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5"/>
    <w:bookmarkStart w:id="184" w:name="references"/>
    <w:p>
      <w:pPr>
        <w:pStyle w:val="Heading1"/>
      </w:pPr>
      <w:r>
        <w:t xml:space="preserve">References</w:t>
      </w:r>
    </w:p>
    <w:bookmarkStart w:id="183"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1"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0">
        <w:r>
          <w:rPr>
            <w:rStyle w:val="Hyperlink"/>
          </w:rPr>
          <w:t xml:space="preserve">https://doi.org/10.1016/S0302-3524(80)80065-X</w:t>
        </w:r>
      </w:hyperlink>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ixon95"/>
    <w:p>
      <w:pPr>
        <w:pStyle w:val="Bibliography"/>
      </w:pPr>
      <w:r>
        <w:t xml:space="preserve">Nixon, S.W., 1995. Coastal marine eutrophication: A definition, social causes, and future concerns. Ophelia 41, 199–219.</w:t>
      </w:r>
      <w:r>
        <w:t xml:space="preserve"> </w:t>
      </w:r>
      <w:hyperlink r:id="rId142">
        <w:r>
          <w:rPr>
            <w:rStyle w:val="Hyperlink"/>
          </w:rPr>
          <w:t xml:space="preserve">https://doi.org/10.1080/00785236.1995.10422044</w:t>
        </w:r>
      </w:hyperlink>
    </w:p>
    <w:bookmarkEnd w:id="143"/>
    <w:bookmarkStart w:id="14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4"/>
    <w:bookmarkStart w:id="14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5">
        <w:r>
          <w:rPr>
            <w:rStyle w:val="Hyperlink"/>
          </w:rPr>
          <w:t xml:space="preserve">https://doi.org/10.32614/RJ-2018-009</w:t>
        </w:r>
      </w:hyperlink>
    </w:p>
    <w:bookmarkEnd w:id="146"/>
    <w:bookmarkStart w:id="14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7">
        <w:r>
          <w:rPr>
            <w:rStyle w:val="Hyperlink"/>
          </w:rPr>
          <w:t xml:space="preserve">https://doi.org/10.1016/j.scitotenv.2016.02.070</w:t>
        </w:r>
      </w:hyperlink>
    </w:p>
    <w:bookmarkEnd w:id="148"/>
    <w:bookmarkStart w:id="15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9">
        <w:r>
          <w:rPr>
            <w:rStyle w:val="Hyperlink"/>
          </w:rPr>
          <w:t xml:space="preserve">https://doi.org/10.1016/j.apgeochem.2010.02.003</w:t>
        </w:r>
      </w:hyperlink>
    </w:p>
    <w:bookmarkEnd w:id="150"/>
    <w:bookmarkStart w:id="151" w:name="ref-RCT20"/>
    <w:p>
      <w:pPr>
        <w:pStyle w:val="Bibliography"/>
      </w:pPr>
      <w:r>
        <w:t xml:space="preserve">R Core Team, 2020. R: A language and environment for statistical computing, v4.0.3. R Foundation for Statistical Computing, Vienna, Austria.</w:t>
      </w:r>
    </w:p>
    <w:bookmarkEnd w:id="151"/>
    <w:bookmarkStart w:id="153"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2">
        <w:r>
          <w:rPr>
            <w:rStyle w:val="Hyperlink"/>
          </w:rPr>
          <w:t xml:space="preserve">https://doi.org/10.1007/s11270-013-1742-7</w:t>
        </w:r>
      </w:hyperlink>
    </w:p>
    <w:bookmarkEnd w:id="153"/>
    <w:bookmarkStart w:id="155"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4">
        <w:r>
          <w:rPr>
            <w:rStyle w:val="Hyperlink"/>
          </w:rPr>
          <w:t xml:space="preserve">https://doi.org/10.1016/j.ecolind.2020.107310</w:t>
        </w:r>
      </w:hyperlink>
    </w:p>
    <w:bookmarkEnd w:id="155"/>
    <w:bookmarkStart w:id="157"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6">
        <w:r>
          <w:rPr>
            <w:rStyle w:val="Hyperlink"/>
          </w:rPr>
          <w:t xml:space="preserve">https://doi.org/10.1353/sgo.2017.0026</w:t>
        </w:r>
      </w:hyperlink>
    </w:p>
    <w:bookmarkEnd w:id="157"/>
    <w:bookmarkStart w:id="159"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8">
        <w:r>
          <w:rPr>
            <w:rStyle w:val="Hyperlink"/>
          </w:rPr>
          <w:t xml:space="preserve">https://doi.org/10.1016/j.hal.2021.102118</w:t>
        </w:r>
      </w:hyperlink>
    </w:p>
    <w:bookmarkEnd w:id="159"/>
    <w:bookmarkStart w:id="161"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0">
        <w:r>
          <w:rPr>
            <w:rStyle w:val="Hyperlink"/>
          </w:rPr>
          <w:t xml:space="preserve">https://doi.org/10.1016/j.jembe.2005.11.025</w:t>
        </w:r>
      </w:hyperlink>
    </w:p>
    <w:bookmarkEnd w:id="161"/>
    <w:bookmarkStart w:id="163"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2">
        <w:r>
          <w:rPr>
            <w:rStyle w:val="Hyperlink"/>
          </w:rPr>
          <w:t xml:space="preserve">https://doi.org/10.1080/00139307509435842</w:t>
        </w:r>
      </w:hyperlink>
    </w:p>
    <w:bookmarkEnd w:id="163"/>
    <w:bookmarkStart w:id="165"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4">
        <w:r>
          <w:rPr>
            <w:rStyle w:val="Hyperlink"/>
          </w:rPr>
          <w:t xml:space="preserve">https://doi.org/10.1080/00139307209435473</w:t>
        </w:r>
      </w:hyperlink>
    </w:p>
    <w:bookmarkEnd w:id="165"/>
    <w:bookmarkStart w:id="16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6"/>
    <w:bookmarkStart w:id="16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7">
        <w:r>
          <w:rPr>
            <w:rStyle w:val="Hyperlink"/>
          </w:rPr>
          <w:t xml:space="preserve">https://doi.org/10.1016/j.jenvman.2009.03.007</w:t>
        </w:r>
      </w:hyperlink>
    </w:p>
    <w:bookmarkEnd w:id="168"/>
    <w:bookmarkStart w:id="17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9">
        <w:r>
          <w:rPr>
            <w:rStyle w:val="Hyperlink"/>
          </w:rPr>
          <w:t xml:space="preserve">https://doi.org/10.1016/j.marpolbul.2020.111247</w:t>
        </w:r>
      </w:hyperlink>
    </w:p>
    <w:bookmarkEnd w:id="170"/>
    <w:bookmarkStart w:id="172"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1">
        <w:r>
          <w:rPr>
            <w:rStyle w:val="Hyperlink"/>
          </w:rPr>
          <w:t xml:space="preserve">https://doi.org/10.1016/j.marpolbul.2018.08.049</w:t>
        </w:r>
      </w:hyperlink>
    </w:p>
    <w:bookmarkEnd w:id="172"/>
    <w:bookmarkStart w:id="174"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3">
        <w:r>
          <w:rPr>
            <w:rStyle w:val="Hyperlink"/>
          </w:rPr>
          <w:t xml:space="preserve">https://doi.org/10.4319/lo.1997.42.5_part_2.1105</w:t>
        </w:r>
      </w:hyperlink>
    </w:p>
    <w:bookmarkEnd w:id="174"/>
    <w:bookmarkStart w:id="17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5"/>
    <w:bookmarkStart w:id="177"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6">
        <w:r>
          <w:rPr>
            <w:rStyle w:val="Hyperlink"/>
          </w:rPr>
          <w:t xml:space="preserve">https://doi.org/10.1029/2018JC014887</w:t>
        </w:r>
      </w:hyperlink>
    </w:p>
    <w:bookmarkEnd w:id="177"/>
    <w:bookmarkStart w:id="179"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8">
        <w:r>
          <w:rPr>
            <w:rStyle w:val="Hyperlink"/>
          </w:rPr>
          <w:t xml:space="preserve">https://doi.org/10.1016/j.hal.2014.04.010</w:t>
        </w:r>
      </w:hyperlink>
    </w:p>
    <w:bookmarkEnd w:id="179"/>
    <w:bookmarkStart w:id="181"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0">
        <w:r>
          <w:rPr>
            <w:rStyle w:val="Hyperlink"/>
          </w:rPr>
          <w:t xml:space="preserve">https://doi.org/10.21105/joss.01686</w:t>
        </w:r>
      </w:hyperlink>
    </w:p>
    <w:bookmarkEnd w:id="181"/>
    <w:bookmarkStart w:id="182" w:name="ref-Wood17"/>
    <w:p>
      <w:pPr>
        <w:pStyle w:val="Bibliography"/>
      </w:pPr>
      <w:r>
        <w:t xml:space="preserve">Wood, S.N., 2017. Generalized additive models: An introduction with r, 2nd ed. Chapman; Hall, CRC Press, London, United Kingdom.</w:t>
      </w:r>
    </w:p>
    <w:bookmarkEnd w:id="182"/>
    <w:bookmarkEnd w:id="183"/>
    <w:bookmarkEnd w:id="184"/>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2"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49" Target="https://doi.org/10.1016/j.apgeochem.2010.02.003" TargetMode="External" /><Relationship Type="http://schemas.openxmlformats.org/officeDocument/2006/relationships/hyperlink" Id="rId154"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8"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58" Target="https://doi.org/10.1016/j.hal.2021.102118" TargetMode="External" /><Relationship Type="http://schemas.openxmlformats.org/officeDocument/2006/relationships/hyperlink" Id="rId160" Target="https://doi.org/10.1016/j.jembe.2005.11.025" TargetMode="External" /><Relationship Type="http://schemas.openxmlformats.org/officeDocument/2006/relationships/hyperlink" Id="rId167"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1" Target="https://doi.org/10.1016/j.marpolbul.2018.08.049" TargetMode="External" /><Relationship Type="http://schemas.openxmlformats.org/officeDocument/2006/relationships/hyperlink" Id="rId169"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76"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4" Target="https://doi.org/10.1080/00139307209435473" TargetMode="External" /><Relationship Type="http://schemas.openxmlformats.org/officeDocument/2006/relationships/hyperlink" Id="rId162"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0"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3"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2"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49" Target="https://doi.org/10.1016/j.apgeochem.2010.02.003" TargetMode="External" /><Relationship Type="http://schemas.openxmlformats.org/officeDocument/2006/relationships/hyperlink" Id="rId154"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8"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58" Target="https://doi.org/10.1016/j.hal.2021.102118" TargetMode="External" /><Relationship Type="http://schemas.openxmlformats.org/officeDocument/2006/relationships/hyperlink" Id="rId160" Target="https://doi.org/10.1016/j.jembe.2005.11.025" TargetMode="External" /><Relationship Type="http://schemas.openxmlformats.org/officeDocument/2006/relationships/hyperlink" Id="rId167"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1" Target="https://doi.org/10.1016/j.marpolbul.2018.08.049" TargetMode="External" /><Relationship Type="http://schemas.openxmlformats.org/officeDocument/2006/relationships/hyperlink" Id="rId169"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76"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4" Target="https://doi.org/10.1080/00139307209435473" TargetMode="External" /><Relationship Type="http://schemas.openxmlformats.org/officeDocument/2006/relationships/hyperlink" Id="rId162"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0"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3"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(nijole.wellendorf@floridadep.org), Joe Whalen (jwhalen@tbep.org)</dc:creator>
  <cp:keywords/>
  <dcterms:created xsi:type="dcterms:W3CDTF">2021-12-01T15:40:50Z</dcterms:created>
  <dcterms:modified xsi:type="dcterms:W3CDTF">2021-12-01T15:40:50Z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